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
          <w:bCs/>
          <w:szCs w:val="20"/>
        </w:rPr>
      </w:pPr>
      <w:r>
        <w:rPr>
          <w:rFonts w:cs="Arial" w:ascii="Verdana" w:hAnsi="Verdana"/>
          <w:b/>
          <w:bCs/>
          <w:szCs w:val="20"/>
        </w:rPr>
      </w:r>
    </w:p>
    <w:p>
      <w:pPr>
        <w:pStyle w:val="Normal"/>
        <w:spacing w:lineRule="auto" w:line="276"/>
        <w:jc w:val="center"/>
        <w:rPr>
          <w:rFonts w:ascii="Verdana" w:hAnsi="Verdana" w:cs="Arial"/>
          <w:b/>
          <w:b/>
          <w:bCs/>
          <w:szCs w:val="20"/>
        </w:rPr>
      </w:pPr>
      <w:r>
        <w:rPr>
          <w:rFonts w:cs="Arial" w:ascii="Verdana" w:hAnsi="Verdana"/>
          <w:b/>
          <w:bCs/>
          <w:szCs w:val="20"/>
        </w:rPr>
        <w:t>AVISO DE DISPENSA ELETRÔNICA Nº 00</w:t>
      </w:r>
      <w:r>
        <w:rPr>
          <w:rFonts w:cs="Arial" w:ascii="Verdana" w:hAnsi="Verdana"/>
          <w:b/>
          <w:bCs/>
          <w:szCs w:val="20"/>
        </w:rPr>
        <w:t>2</w:t>
      </w:r>
      <w:r>
        <w:rPr>
          <w:rFonts w:cs="Arial" w:ascii="Verdana" w:hAnsi="Verdana"/>
          <w:b/>
          <w:bCs/>
          <w:szCs w:val="20"/>
        </w:rPr>
        <w:t>/2024</w:t>
      </w:r>
    </w:p>
    <w:p>
      <w:pPr>
        <w:pStyle w:val="Normal"/>
        <w:spacing w:lineRule="auto" w:line="276" w:before="0" w:after="120"/>
        <w:jc w:val="center"/>
        <w:rPr>
          <w:rFonts w:ascii="Verdana" w:hAnsi="Verdana" w:cs="Arial"/>
          <w:b/>
          <w:b/>
          <w:bCs/>
          <w:szCs w:val="20"/>
        </w:rPr>
      </w:pPr>
      <w:r>
        <w:rPr>
          <w:rFonts w:cs="Arial" w:ascii="Verdana" w:hAnsi="Verdana"/>
          <w:b/>
          <w:bCs/>
          <w:szCs w:val="20"/>
        </w:rPr>
        <w:t>(Processo Administrativo n.º 0</w:t>
      </w:r>
      <w:r>
        <w:rPr>
          <w:rFonts w:cs="Arial" w:ascii="Verdana" w:hAnsi="Verdana"/>
          <w:b/>
          <w:bCs/>
          <w:szCs w:val="20"/>
        </w:rPr>
        <w:t>60</w:t>
      </w:r>
      <w:r>
        <w:rPr>
          <w:rFonts w:cs="Arial" w:ascii="Verdana" w:hAnsi="Verdana"/>
          <w:b/>
          <w:bCs/>
          <w:szCs w:val="20"/>
        </w:rPr>
        <w:t xml:space="preserve">/2024 de </w:t>
      </w:r>
      <w:r>
        <w:rPr>
          <w:rFonts w:cs="Arial" w:ascii="Verdana" w:hAnsi="Verdana"/>
          <w:b/>
          <w:bCs/>
          <w:szCs w:val="20"/>
        </w:rPr>
        <w:t>17</w:t>
      </w:r>
      <w:r>
        <w:rPr>
          <w:rFonts w:cs="Arial" w:ascii="Verdana" w:hAnsi="Verdana"/>
          <w:b/>
          <w:bCs/>
          <w:szCs w:val="20"/>
        </w:rPr>
        <w:t>/07/2024)</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right="-30" w:firstLine="540"/>
        <w:jc w:val="both"/>
        <w:rPr>
          <w:rFonts w:ascii="Verdana" w:hAnsi="Verdana"/>
          <w:szCs w:val="20"/>
        </w:rPr>
      </w:pPr>
      <w:r>
        <w:rPr>
          <w:rFonts w:cs="Arial" w:ascii="Verdana" w:hAnsi="Verdana"/>
          <w:szCs w:val="20"/>
        </w:rPr>
        <w:t xml:space="preserve">Torna-se público que o Instituto de Previdência dos Servidores Públicos do Município de </w:t>
      </w:r>
      <w:r>
        <w:rPr>
          <w:rFonts w:eastAsia="Arial" w:cs="Arial" w:ascii="Verdana" w:hAnsi="Verdana"/>
          <w:szCs w:val="20"/>
        </w:rPr>
        <w:t xml:space="preserve">São Gabriel da Palha-ES – SGP-Prev, </w:t>
      </w:r>
      <w:r>
        <w:rPr>
          <w:rFonts w:cs="Arial" w:ascii="Verdana" w:hAnsi="Verdana"/>
          <w:szCs w:val="20"/>
        </w:rPr>
        <w:t xml:space="preserve">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por item,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
          <w:bCs/>
          <w:szCs w:val="20"/>
        </w:rPr>
      </w:pPr>
      <w:r>
        <w:rPr>
          <w:rFonts w:cs="Arial" w:ascii="Verdana" w:hAnsi="Verdana"/>
          <w:b/>
          <w:bCs/>
          <w:szCs w:val="20"/>
        </w:rPr>
        <w:t>Data da sessão: __/____/2024.</w:t>
      </w:r>
    </w:p>
    <w:p>
      <w:pPr>
        <w:pStyle w:val="Normal"/>
        <w:spacing w:lineRule="auto" w:line="276"/>
        <w:rPr>
          <w:rFonts w:ascii="Verdana" w:hAnsi="Verdana" w:cs="Arial"/>
          <w:b/>
          <w:b/>
          <w:bCs/>
          <w:szCs w:val="20"/>
        </w:rPr>
      </w:pPr>
      <w:r>
        <w:rPr>
          <w:rStyle w:val="LinkdaInternet"/>
          <w:rFonts w:ascii="Verdana" w:hAnsi="Verdana"/>
          <w:b/>
          <w:bCs/>
          <w:color w:val="auto"/>
          <w:szCs w:val="20"/>
          <w:u w:val="none"/>
        </w:rPr>
        <w:t xml:space="preserve">Link: </w:t>
      </w:r>
      <w:hyperlink r:id="rId2">
        <w:r>
          <w:rPr>
            <w:rStyle w:val="LinkdaInternet"/>
            <w:rFonts w:ascii="Verdana" w:hAnsi="Verdana"/>
            <w:b/>
            <w:bCs/>
            <w:color w:val="auto"/>
            <w:szCs w:val="20"/>
            <w:u w:val="single"/>
          </w:rPr>
          <w:t>www.gov.br/compras</w:t>
        </w:r>
      </w:hyperlink>
    </w:p>
    <w:p>
      <w:pPr>
        <w:pStyle w:val="Normal"/>
        <w:spacing w:lineRule="auto" w:line="276"/>
        <w:jc w:val="both"/>
        <w:rPr>
          <w:rFonts w:ascii="Verdana" w:hAnsi="Verdana" w:cs="Arial"/>
          <w:b/>
          <w:b/>
          <w:bCs/>
          <w:szCs w:val="20"/>
        </w:rPr>
      </w:pPr>
      <w:r>
        <w:rPr>
          <w:rFonts w:cs="Arial" w:ascii="Verdana" w:hAnsi="Verdana"/>
          <w:b/>
          <w:bCs/>
          <w:szCs w:val="20"/>
        </w:rPr>
        <w:t>Horário da Fase de Lances: 08h00min as 14h00min.</w:t>
      </w:r>
      <w:r>
        <w:rPr>
          <w:rFonts w:cs="Arial" w:ascii="Verdana" w:hAnsi="Verdana"/>
          <w:b w:val="false"/>
          <w:bCs w:val="false"/>
          <w:szCs w:val="20"/>
        </w:rPr>
        <w:t xml:space="preserve"> </w:t>
      </w:r>
    </w:p>
    <w:p>
      <w:pPr>
        <w:pStyle w:val="Normal"/>
        <w:spacing w:lineRule="auto" w:line="276"/>
        <w:jc w:val="both"/>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left="0" w:hanging="0"/>
        <w:rPr>
          <w:rFonts w:ascii="Verdana" w:hAnsi="Verdana" w:cs="Arial"/>
          <w:szCs w:val="20"/>
        </w:rPr>
      </w:pPr>
      <w:r>
        <w:rPr>
          <w:rFonts w:cs="Arial" w:ascii="Verdana" w:hAnsi="Verdana"/>
          <w:szCs w:val="20"/>
        </w:rPr>
        <w:t xml:space="preserve">O objeto da presente dispensa é a escolha da proposta mais vantajosa para </w:t>
      </w:r>
      <w:bookmarkStart w:id="0" w:name="_Hlk158284997"/>
      <w:r>
        <w:rPr>
          <w:rFonts w:cs="Arial" w:ascii="Verdana" w:hAnsi="Verdana"/>
          <w:szCs w:val="20"/>
        </w:rPr>
        <w:t xml:space="preserve">a </w:t>
      </w:r>
      <w:bookmarkStart w:id="1" w:name="_Hlk158282862"/>
      <w:bookmarkEnd w:id="0"/>
      <w:r>
        <w:rPr>
          <w:rFonts w:cs="Arial" w:ascii="Verdana" w:hAnsi="Verdana"/>
          <w:iCs/>
          <w:szCs w:val="20"/>
        </w:rPr>
        <w:t xml:space="preserve">aquisição de material de </w:t>
      </w:r>
      <w:r>
        <w:rPr>
          <w:rFonts w:cs="Arial" w:ascii="Verdana" w:hAnsi="Verdana"/>
          <w:iCs/>
          <w:szCs w:val="20"/>
        </w:rPr>
        <w:t>consumo e limpeza</w:t>
      </w:r>
      <w:r>
        <w:rPr>
          <w:rFonts w:cs="Arial" w:ascii="Verdana" w:hAnsi="Verdana"/>
          <w:iCs/>
          <w:szCs w:val="20"/>
        </w:rPr>
        <w:t xml:space="preserve">, </w:t>
      </w:r>
      <w:r>
        <w:rPr>
          <w:rFonts w:eastAsia="Times New Roman" w:cs="Times New Roman" w:ascii="Verdana" w:hAnsi="Verdana"/>
          <w:iCs/>
          <w:szCs w:val="20"/>
        </w:rPr>
        <w:t>a fim de atender as necessidades do</w:t>
      </w:r>
      <w:r>
        <w:rPr>
          <w:rFonts w:cs="Arial" w:ascii="Verdana" w:hAnsi="Verdana"/>
          <w:iCs/>
          <w:szCs w:val="20"/>
        </w:rPr>
        <w:t xml:space="preserve"> SGP-Prev</w:t>
      </w:r>
      <w:r>
        <w:rPr>
          <w:rFonts w:cs="Verdana" w:ascii="Verdana" w:hAnsi="Verdana"/>
          <w:szCs w:val="20"/>
        </w:rPr>
        <w:t>,</w:t>
      </w:r>
      <w:r>
        <w:rPr>
          <w:rFonts w:cs="Arial" w:ascii="Verdana" w:hAnsi="Verdana"/>
          <w:szCs w:val="20"/>
        </w:rPr>
        <w:t xml:space="preserve"> conforme condições, quantidades e exigências estabelecidas neste Aviso de Contratação Direta e seus anexos.</w:t>
      </w:r>
      <w:bookmarkEnd w:id="1"/>
    </w:p>
    <w:p>
      <w:pPr>
        <w:pStyle w:val="PADRO"/>
        <w:widowControl/>
        <w:shd w:val="clear" w:color="auto" w:fill="auto"/>
        <w:tabs>
          <w:tab w:val="clear" w:pos="708"/>
          <w:tab w:val="left" w:pos="284" w:leader="none"/>
          <w:tab w:val="left" w:pos="426" w:leader="none"/>
        </w:tabs>
        <w:spacing w:before="0" w:after="0"/>
        <w:ind w:left="0" w:hanging="0"/>
        <w:rPr>
          <w:rFonts w:ascii="Verdana" w:hAnsi="Verdana" w:cs="Arial"/>
          <w:szCs w:val="20"/>
        </w:rPr>
      </w:pPr>
      <w:r>
        <w:rPr>
          <w:rFonts w:cs="Arial" w:ascii="Verdana" w:hAnsi="Verdana"/>
          <w:szCs w:val="20"/>
        </w:rPr>
      </w:r>
    </w:p>
    <w:p>
      <w:pPr>
        <w:pStyle w:val="PADRO"/>
        <w:widowControl/>
        <w:shd w:val="clear" w:color="auto" w:fill="auto"/>
        <w:tabs>
          <w:tab w:val="clear" w:pos="708"/>
          <w:tab w:val="left" w:pos="284" w:leader="none"/>
          <w:tab w:val="left" w:pos="426" w:leader="none"/>
        </w:tabs>
        <w:spacing w:before="0" w:after="0"/>
        <w:ind w:left="0" w:hanging="0"/>
        <w:rPr>
          <w:rFonts w:ascii="Verdana" w:hAnsi="Verdana" w:cs="Arial"/>
          <w:szCs w:val="20"/>
        </w:rPr>
      </w:pPr>
      <w:r>
        <w:rPr>
          <w:rFonts w:cs="Arial" w:ascii="Verdana" w:hAnsi="Verdana"/>
          <w:szCs w:val="20"/>
        </w:rPr>
      </w:r>
    </w:p>
    <w:tbl>
      <w:tblPr>
        <w:tblStyle w:val="3"/>
        <w:tblW w:w="10590" w:type="dxa"/>
        <w:jc w:val="left"/>
        <w:tblInd w:w="-705" w:type="dxa"/>
        <w:tblLayout w:type="fixed"/>
        <w:tblCellMar>
          <w:top w:w="100" w:type="dxa"/>
          <w:left w:w="100" w:type="dxa"/>
          <w:bottom w:w="100" w:type="dxa"/>
          <w:right w:w="100" w:type="dxa"/>
        </w:tblCellMar>
      </w:tblPr>
      <w:tblGrid>
        <w:gridCol w:w="1018"/>
        <w:gridCol w:w="3512"/>
        <w:gridCol w:w="1589"/>
        <w:gridCol w:w="1410"/>
        <w:gridCol w:w="1685"/>
        <w:gridCol w:w="1376"/>
      </w:tblGrid>
      <w:tr>
        <w:trPr>
          <w:trHeight w:val="840" w:hRule="atLeast"/>
        </w:trPr>
        <w:tc>
          <w:tcPr>
            <w:tcW w:w="1018"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before="0" w:after="0"/>
              <w:jc w:val="center"/>
              <w:rPr>
                <w:rFonts w:ascii="Times New Roman" w:hAnsi="Times New Roman" w:eastAsia="Times New Roman" w:cs="Times New Roman"/>
                <w:b/>
                <w:b/>
                <w:bCs/>
              </w:rPr>
            </w:pPr>
            <w:r>
              <w:rPr>
                <w:rFonts w:eastAsia="Times New Roman" w:cs="Times New Roman"/>
                <w:b/>
                <w:bCs/>
                <w:sz w:val="21"/>
                <w:szCs w:val="21"/>
              </w:rPr>
              <w:t>Item</w:t>
            </w:r>
          </w:p>
        </w:tc>
        <w:tc>
          <w:tcPr>
            <w:tcW w:w="3512" w:type="dxa"/>
            <w:tcBorders>
              <w:top w:val="single" w:sz="8" w:space="0" w:color="000000"/>
              <w:bottom w:val="single" w:sz="8" w:space="0" w:color="000000"/>
              <w:right w:val="single" w:sz="8" w:space="0" w:color="000000"/>
            </w:tcBorders>
            <w:shd w:fill="auto" w:val="clear"/>
          </w:tcPr>
          <w:p>
            <w:pPr>
              <w:pStyle w:val="Normal"/>
              <w:widowControl w:val="false"/>
              <w:spacing w:lineRule="auto" w:line="240" w:before="0" w:after="0"/>
              <w:jc w:val="center"/>
              <w:rPr>
                <w:sz w:val="21"/>
                <w:szCs w:val="21"/>
              </w:rPr>
            </w:pPr>
            <w:r>
              <w:rPr>
                <w:rFonts w:eastAsia="Times New Roman" w:cs="Times New Roman"/>
                <w:b/>
                <w:sz w:val="21"/>
                <w:szCs w:val="21"/>
              </w:rPr>
              <w:t>DESCRIÇÃO/</w:t>
            </w:r>
            <w:r>
              <w:rPr>
                <w:rFonts w:eastAsia="Times New Roman" w:cs="Times New Roman"/>
                <w:b/>
                <w:sz w:val="21"/>
                <w:szCs w:val="21"/>
                <w:lang w:val="pt-BR"/>
              </w:rPr>
              <w:t xml:space="preserve"> </w:t>
            </w:r>
            <w:r>
              <w:rPr>
                <w:rFonts w:eastAsia="Times New Roman" w:cs="Times New Roman"/>
                <w:b/>
                <w:sz w:val="21"/>
                <w:szCs w:val="21"/>
              </w:rPr>
              <w:t>ESPECIFICAÇÃO</w:t>
            </w:r>
          </w:p>
        </w:tc>
        <w:tc>
          <w:tcPr>
            <w:tcW w:w="1589" w:type="dxa"/>
            <w:tcBorders>
              <w:top w:val="single" w:sz="8" w:space="0" w:color="000000"/>
              <w:bottom w:val="single" w:sz="8" w:space="0" w:color="000000"/>
              <w:right w:val="single" w:sz="8" w:space="0" w:color="000000"/>
            </w:tcBorders>
            <w:shd w:fill="auto" w:val="clear"/>
          </w:tcPr>
          <w:p>
            <w:pPr>
              <w:pStyle w:val="Normal"/>
              <w:widowControl w:val="false"/>
              <w:spacing w:lineRule="auto" w:line="240" w:before="0" w:after="0"/>
              <w:jc w:val="center"/>
              <w:rPr>
                <w:rFonts w:ascii="Times New Roman" w:hAnsi="Times New Roman" w:eastAsia="Times New Roman" w:cs="Times New Roman"/>
                <w:b/>
                <w:b/>
              </w:rPr>
            </w:pPr>
            <w:r>
              <w:rPr>
                <w:rFonts w:eastAsia="Times New Roman" w:cs="Times New Roman"/>
                <w:b/>
                <w:sz w:val="21"/>
                <w:szCs w:val="21"/>
              </w:rPr>
              <w:t>UNIDADE DE MEDIDA</w:t>
            </w:r>
          </w:p>
        </w:tc>
        <w:tc>
          <w:tcPr>
            <w:tcW w:w="1410" w:type="dxa"/>
            <w:tcBorders>
              <w:top w:val="single" w:sz="8" w:space="0" w:color="000000"/>
              <w:left w:val="single" w:sz="8" w:space="0" w:color="000000"/>
              <w:bottom w:val="single" w:sz="8" w:space="0" w:color="000000"/>
            </w:tcBorders>
            <w:shd w:fill="auto" w:val="clear"/>
          </w:tcPr>
          <w:p>
            <w:pPr>
              <w:pStyle w:val="Normal"/>
              <w:widowControl w:val="false"/>
              <w:spacing w:lineRule="auto" w:line="240" w:before="0" w:after="160"/>
              <w:jc w:val="center"/>
              <w:rPr>
                <w:rFonts w:ascii="Times New Roman" w:hAnsi="Times New Roman" w:eastAsia="Times New Roman" w:cs="Times New Roman"/>
                <w:b/>
                <w:b/>
              </w:rPr>
            </w:pPr>
            <w:r>
              <w:rPr>
                <w:rFonts w:eastAsia="Times New Roman" w:cs="Times New Roman"/>
                <w:b/>
                <w:sz w:val="21"/>
                <w:szCs w:val="21"/>
              </w:rPr>
              <w:t>QUANT</w:t>
            </w:r>
          </w:p>
        </w:tc>
        <w:tc>
          <w:tcPr>
            <w:tcW w:w="1685" w:type="dxa"/>
            <w:tcBorders>
              <w:top w:val="single" w:sz="8" w:space="0" w:color="000000"/>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b/>
                <w:b/>
                <w:bCs/>
                <w:color w:val="000000"/>
              </w:rPr>
            </w:pPr>
            <w:r>
              <w:rPr>
                <w:b/>
                <w:bCs/>
                <w:color w:val="000000"/>
                <w:sz w:val="21"/>
                <w:szCs w:val="21"/>
              </w:rPr>
              <w:t>VALOR ESTIMADO UNITÁRIO</w:t>
            </w:r>
          </w:p>
        </w:tc>
        <w:tc>
          <w:tcPr>
            <w:tcW w:w="1376" w:type="dxa"/>
            <w:tcBorders>
              <w:top w:val="single" w:sz="8" w:space="0" w:color="000000"/>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b/>
                <w:b/>
                <w:bCs/>
                <w:color w:val="000000"/>
              </w:rPr>
            </w:pPr>
            <w:r>
              <w:rPr>
                <w:b/>
                <w:bCs/>
                <w:color w:val="000000"/>
                <w:sz w:val="21"/>
                <w:szCs w:val="21"/>
              </w:rPr>
              <w:t>VALOR ESTIMADO TOTAL</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01</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Saco Plástico Lixo </w:t>
            </w:r>
            <w:r>
              <w:rPr>
                <w:rFonts w:cs="Arial" w:ascii="Times New Roman" w:hAnsi="Times New Roman"/>
                <w:b w:val="false"/>
                <w:bCs w:val="false"/>
                <w:i w:val="false"/>
                <w:iCs w:val="false"/>
                <w:color w:val="000000"/>
                <w:sz w:val="21"/>
                <w:szCs w:val="21"/>
              </w:rPr>
              <w:t>Capacidade: 30 L, Aplicação: Coleta De Lixo , Material: Polietileno Alta Densidade. Pacote contendo 50 unidades</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Pacote</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15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sz w:val="21"/>
                <w:szCs w:val="21"/>
              </w:rPr>
            </w:pPr>
            <w:r>
              <w:rPr>
                <w:sz w:val="21"/>
                <w:szCs w:val="21"/>
              </w:rPr>
            </w:r>
          </w:p>
          <w:p>
            <w:pPr>
              <w:pStyle w:val="Contedodatabela"/>
              <w:widowControl w:val="false"/>
              <w:spacing w:lineRule="auto" w:line="276"/>
              <w:jc w:val="center"/>
              <w:rPr>
                <w:rFonts w:ascii="Times New Roman" w:hAnsi="Times New Roman"/>
                <w:sz w:val="21"/>
                <w:szCs w:val="21"/>
              </w:rPr>
            </w:pPr>
            <w:r>
              <w:rPr>
                <w:sz w:val="21"/>
                <w:szCs w:val="21"/>
              </w:rPr>
            </w:r>
          </w:p>
          <w:p>
            <w:pPr>
              <w:pStyle w:val="Contedodatabela"/>
              <w:widowControl w:val="false"/>
              <w:spacing w:lineRule="auto" w:line="276"/>
              <w:jc w:val="center"/>
              <w:rPr>
                <w:rFonts w:ascii="Times New Roman" w:hAnsi="Times New Roman"/>
                <w:color w:val="000000"/>
              </w:rPr>
            </w:pPr>
            <w:r>
              <w:rPr>
                <w:color w:val="000000"/>
                <w:sz w:val="21"/>
                <w:szCs w:val="21"/>
              </w:rPr>
              <w:t>R$ 6,83</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sz w:val="21"/>
                <w:szCs w:val="21"/>
              </w:rPr>
            </w:pPr>
            <w:r>
              <w:rPr>
                <w:sz w:val="21"/>
                <w:szCs w:val="21"/>
              </w:rPr>
            </w:r>
          </w:p>
          <w:p>
            <w:pPr>
              <w:pStyle w:val="Contedodatabela"/>
              <w:widowControl w:val="false"/>
              <w:spacing w:lineRule="auto" w:line="276"/>
              <w:jc w:val="center"/>
              <w:rPr>
                <w:rFonts w:ascii="Times New Roman" w:hAnsi="Times New Roman"/>
                <w:sz w:val="21"/>
                <w:szCs w:val="21"/>
              </w:rPr>
            </w:pPr>
            <w:r>
              <w:rPr>
                <w:sz w:val="21"/>
                <w:szCs w:val="21"/>
              </w:rPr>
            </w:r>
          </w:p>
          <w:p>
            <w:pPr>
              <w:pStyle w:val="Contedodatabela"/>
              <w:widowControl w:val="false"/>
              <w:spacing w:lineRule="auto" w:line="276"/>
              <w:jc w:val="center"/>
              <w:rPr>
                <w:rFonts w:ascii="Times New Roman" w:hAnsi="Times New Roman"/>
                <w:color w:val="000000"/>
              </w:rPr>
            </w:pPr>
            <w:r>
              <w:rPr>
                <w:color w:val="000000"/>
                <w:sz w:val="21"/>
                <w:szCs w:val="21"/>
              </w:rPr>
              <w:t>R$ 102,45</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02</w:t>
            </w:r>
          </w:p>
        </w:tc>
        <w:tc>
          <w:tcPr>
            <w:tcW w:w="3512" w:type="dxa"/>
            <w:tcBorders>
              <w:bottom w:val="single" w:sz="8" w:space="0" w:color="000000"/>
              <w:right w:val="single" w:sz="8" w:space="0" w:color="000000"/>
            </w:tcBorders>
            <w:shd w:fill="auto" w:val="clear"/>
          </w:tcPr>
          <w:p>
            <w:pPr>
              <w:pStyle w:val="Normal"/>
              <w:widowControl w:val="false"/>
              <w:spacing w:lineRule="auto" w:line="240" w:before="0" w:after="0"/>
              <w:jc w:val="left"/>
              <w:rPr>
                <w:sz w:val="21"/>
                <w:szCs w:val="21"/>
              </w:rPr>
            </w:pPr>
            <w:r>
              <w:rPr>
                <w:rFonts w:eastAsia="Times New Roman" w:cs="Arial"/>
                <w:b/>
                <w:bCs/>
                <w:i w:val="false"/>
                <w:iCs w:val="false"/>
                <w:color w:val="000000"/>
                <w:sz w:val="21"/>
                <w:szCs w:val="21"/>
                <w:lang w:eastAsia="pt-BR"/>
              </w:rPr>
              <w:t xml:space="preserve">Sabonete Líquido </w:t>
            </w:r>
            <w:r>
              <w:rPr>
                <w:rFonts w:eastAsia="Times New Roman" w:cs="Arial"/>
                <w:b w:val="false"/>
                <w:bCs w:val="false"/>
                <w:i w:val="false"/>
                <w:iCs w:val="false"/>
                <w:color w:val="000000"/>
                <w:sz w:val="21"/>
                <w:szCs w:val="21"/>
                <w:lang w:eastAsia="pt-BR"/>
              </w:rPr>
              <w:t>Aspecto Físico: Líquido Perfumado , Acidez: Ph Neutro , Aplicação: Assepsia Das Mãos , Composição: Glicerina , Aroma: Lavanda. Frasco contendo 1 litro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Frasco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20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R$ 4,76</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R$ 95,20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03</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Toalha De Papel </w:t>
            </w:r>
            <w:r>
              <w:rPr>
                <w:rFonts w:cs="Arial" w:ascii="Times New Roman" w:hAnsi="Times New Roman"/>
                <w:b w:val="false"/>
                <w:bCs w:val="false"/>
                <w:i w:val="false"/>
                <w:iCs w:val="false"/>
                <w:color w:val="000000"/>
                <w:sz w:val="21"/>
                <w:szCs w:val="21"/>
              </w:rPr>
              <w:t>Material: Papel , Tipo Folha: 2 Dobras , Comprimento: 21,50 CM, Largura: 24 A 25 CM, Cor: Branca , Características Adicionais: Interfolhada , Aplicação: Higiene Pessoal. Embalagem contendo 1000 folhas</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Embalagem</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R$ 10,40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R$ 156,00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04</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Limpador Impurezas </w:t>
            </w:r>
            <w:r>
              <w:rPr>
                <w:rFonts w:cs="Arial" w:ascii="Times New Roman" w:hAnsi="Times New Roman"/>
                <w:b w:val="false"/>
                <w:bCs w:val="false"/>
                <w:i w:val="false"/>
                <w:iCs w:val="false"/>
                <w:color w:val="000000"/>
                <w:sz w:val="21"/>
                <w:szCs w:val="21"/>
              </w:rPr>
              <w:t>Composição Básica: Lauril Éter Sulfato De Sódio, Linear Alquil Benze- , Aspecto Físico: Líquido , Aplicação: Manchas E Sujeiras Difíceis. Frasco 500 ml</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Frasco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3</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R$ 9,05</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R$ 27,15</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05</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Copo Descartável </w:t>
            </w:r>
            <w:r>
              <w:rPr>
                <w:rFonts w:cs="Arial" w:ascii="Times New Roman" w:hAnsi="Times New Roman"/>
                <w:b w:val="false"/>
                <w:bCs w:val="false"/>
                <w:i w:val="false"/>
                <w:iCs w:val="false"/>
                <w:color w:val="000000"/>
                <w:sz w:val="21"/>
                <w:szCs w:val="21"/>
              </w:rPr>
              <w:t>Material: Poliestireno, Capacidade: 200 ML, Cor: Incolor. Pacote contendo 100 unidades cada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60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R$ 6,20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R$ 372,00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06</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Jarra </w:t>
            </w:r>
            <w:r>
              <w:rPr>
                <w:rFonts w:cs="Arial" w:ascii="Times New Roman" w:hAnsi="Times New Roman"/>
                <w:b w:val="false"/>
                <w:bCs w:val="false"/>
                <w:i w:val="false"/>
                <w:iCs w:val="false"/>
                <w:color w:val="000000"/>
                <w:sz w:val="21"/>
                <w:szCs w:val="21"/>
              </w:rPr>
              <w:t>Material: Aço Inoxidável , Capacidade: 2 L, Modelo: Com Tampa E Aparador Para Gelo , Aplicação: Água/Suco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2</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R$ 65,30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R$ 130,60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07</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Vassoura Piaçava </w:t>
            </w:r>
            <w:r>
              <w:rPr>
                <w:rFonts w:cs="Arial" w:ascii="Times New Roman" w:hAnsi="Times New Roman"/>
                <w:b w:val="false"/>
                <w:bCs w:val="false"/>
                <w:i w:val="false"/>
                <w:iCs w:val="false"/>
                <w:color w:val="000000"/>
                <w:sz w:val="21"/>
                <w:szCs w:val="21"/>
              </w:rPr>
              <w:t>Material Cerdas: Piaçava , Material Cepa: Chapa De Aço , Comprimento Cepa: 21 CM, Características Adicionais: Com Cabo Madeira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2</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R$ 14,51</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R$ 29,02</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08</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Suporte Filtro Café </w:t>
            </w:r>
            <w:r>
              <w:rPr>
                <w:rFonts w:cs="Arial" w:ascii="Times New Roman" w:hAnsi="Times New Roman"/>
                <w:b w:val="false"/>
                <w:bCs w:val="false"/>
                <w:i w:val="false"/>
                <w:iCs w:val="false"/>
                <w:color w:val="000000"/>
                <w:sz w:val="21"/>
                <w:szCs w:val="21"/>
              </w:rPr>
              <w:t>Material: Plástico , Modelo: Tradicional , Cor: Marrom , Tamanho Referência: Nº 103</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2</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R$ 14,80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R$ 29,60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09</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Coador Descartável Café </w:t>
            </w:r>
            <w:r>
              <w:rPr>
                <w:rFonts w:cs="Arial" w:ascii="Times New Roman" w:hAnsi="Times New Roman"/>
                <w:b w:val="false"/>
                <w:bCs w:val="false"/>
                <w:i w:val="false"/>
                <w:iCs w:val="false"/>
                <w:color w:val="000000"/>
                <w:sz w:val="21"/>
                <w:szCs w:val="21"/>
              </w:rPr>
              <w:t>Material: Papel , Tamanho: 103. Caixa contendo 30 unidades</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Cx</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R$ 5,05</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R$ 50,50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10</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Mangueira Jardim </w:t>
            </w:r>
            <w:r>
              <w:rPr>
                <w:rFonts w:cs="Arial" w:ascii="Times New Roman" w:hAnsi="Times New Roman"/>
                <w:b w:val="false"/>
                <w:bCs w:val="false"/>
                <w:i w:val="false"/>
                <w:iCs w:val="false"/>
                <w:color w:val="000000"/>
                <w:sz w:val="21"/>
                <w:szCs w:val="21"/>
              </w:rPr>
              <w:t>Material: Pvc E Poliéster Trançado , Diâmetro: 1/2 POL, Pressão Máxima: 12 BAR., Comprimento: 50 M, Cor: Cristal , Características Adicionais: Três Camadas Intermediaria De Pvc Transparente</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Rolo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01</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R$ 148,00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R$ 148,00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11</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Dispenser Para Copo Plástico </w:t>
            </w:r>
            <w:r>
              <w:rPr>
                <w:rFonts w:cs="Arial" w:ascii="Times New Roman" w:hAnsi="Times New Roman"/>
                <w:b w:val="false"/>
                <w:bCs w:val="false"/>
                <w:i w:val="false"/>
                <w:iCs w:val="false"/>
                <w:color w:val="000000"/>
                <w:sz w:val="21"/>
                <w:szCs w:val="21"/>
              </w:rPr>
              <w:t>Material: Plástico Abs/Acrílico , Cor: Branca , Transmitância: Transparente , Capacidade Copo: 200 ML, Capacidade: 100 UN, Características Adicionais: Sistema Poupa Copo Com Alavanca 16x50x19 Cm , Material Base: Prolipropileno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01</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R$ 36,75</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R$ 36,75</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12</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Papel Higiênico </w:t>
            </w:r>
            <w:r>
              <w:rPr>
                <w:rFonts w:cs="Arial" w:ascii="Times New Roman" w:hAnsi="Times New Roman"/>
                <w:b w:val="false"/>
                <w:bCs w:val="false"/>
                <w:i w:val="false"/>
                <w:iCs w:val="false"/>
                <w:color w:val="000000"/>
                <w:sz w:val="21"/>
                <w:szCs w:val="21"/>
              </w:rPr>
              <w:t>Material: Celulose Virgem , Largura: 10 CM, Cor: Branca , Características Adicionais: Picotado, Folha Dupla. Pacote contendo 04 unidades de 60 metros cada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R$ 7,12</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R$ 106,80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13</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Desinfetante </w:t>
            </w:r>
            <w:r>
              <w:rPr>
                <w:rFonts w:cs="Arial" w:ascii="Times New Roman" w:hAnsi="Times New Roman"/>
                <w:b w:val="false"/>
                <w:bCs w:val="false"/>
                <w:i w:val="false"/>
                <w:iCs w:val="false"/>
                <w:color w:val="000000"/>
                <w:sz w:val="21"/>
                <w:szCs w:val="21"/>
              </w:rPr>
              <w:t>Composição: Cloreto De Benzalcônico, Emulssificante, Essência, , Aplicação: Bactericida , Princípio Ativo: Cloreto De Benzalcõnico , Forma Física: Solução Aquosam Aroma , Características Adicionais 1: Com Aromaicionado. Lavanda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Litro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30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R$ 8,62</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R$ 258,60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14</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Pano Limpeza </w:t>
            </w:r>
            <w:r>
              <w:rPr>
                <w:rFonts w:cs="Arial" w:ascii="Times New Roman" w:hAnsi="Times New Roman"/>
                <w:b w:val="false"/>
                <w:bCs w:val="false"/>
                <w:i w:val="false"/>
                <w:iCs w:val="false"/>
                <w:color w:val="000000"/>
                <w:sz w:val="21"/>
                <w:szCs w:val="21"/>
              </w:rPr>
              <w:t>Material: 100% Algodão , Comprimento: 64 CM, Largura: 45 CM, Características Adicionais: Alvejado , Aplicação: Uso Geral , Cor: Branca , Tipo: Saco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03</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R$ 8,08</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R$ 24,24</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15</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Água Sanitária </w:t>
            </w:r>
            <w:r>
              <w:rPr>
                <w:rFonts w:cs="Arial" w:ascii="Times New Roman" w:hAnsi="Times New Roman"/>
                <w:b w:val="false"/>
                <w:bCs w:val="false"/>
                <w:i w:val="false"/>
                <w:iCs w:val="false"/>
                <w:color w:val="000000"/>
                <w:sz w:val="21"/>
                <w:szCs w:val="21"/>
              </w:rPr>
              <w:t>Composição Química: Hipoclorito De Sódio, Hidróxido De Sódio, Cloreto , Teor Cloro Ativo: Varia De 2 A 2,50% , Classe Corrosivo: Classe 8 , Número Risco: 85 , Risco Saúde: 3 , Corrosividade: 1 , Peso Molecular Cloro: 74,50 , Densidade: De 1,20 A 1 G/L, Cor: Incolor , Aplicação: Lavagem E Alvejante De Roupas, Banheiras, Pias.</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sz w:val="21"/>
                <w:szCs w:val="21"/>
                <w:lang w:val="pt-BR"/>
              </w:rPr>
            </w:pPr>
            <w:r>
              <w:rPr>
                <w:rFonts w:eastAsia="Times New Roman" w:cs="Times New Roman" w:ascii="Times New Roman" w:hAnsi="Times New Roman"/>
                <w:sz w:val="21"/>
                <w:szCs w:val="21"/>
                <w:lang w:val="pt-BR"/>
              </w:rPr>
            </w:r>
          </w:p>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Embalagem 5 litros</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sz w:val="21"/>
                <w:szCs w:val="21"/>
              </w:rPr>
            </w:pPr>
            <w:r>
              <w:rPr>
                <w:rFonts w:ascii="Times New Roman" w:hAnsi="Times New Roman"/>
                <w:sz w:val="21"/>
                <w:szCs w:val="21"/>
              </w:rPr>
            </w:r>
          </w:p>
          <w:p>
            <w:pPr>
              <w:pStyle w:val="Normal"/>
              <w:widowControl w:val="false"/>
              <w:spacing w:before="240" w:after="60"/>
              <w:jc w:val="center"/>
              <w:rPr>
                <w:rFonts w:ascii="Times New Roman" w:hAnsi="Times New Roman"/>
              </w:rPr>
            </w:pPr>
            <w:r>
              <w:rPr>
                <w:sz w:val="21"/>
                <w:szCs w:val="21"/>
              </w:rPr>
              <w:t>04</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R$ 11,25</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R$ 45,00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16</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Álcool Etílico </w:t>
            </w:r>
            <w:r>
              <w:rPr>
                <w:rFonts w:cs="Arial" w:ascii="Times New Roman" w:hAnsi="Times New Roman"/>
                <w:b w:val="false"/>
                <w:bCs w:val="false"/>
                <w:i w:val="false"/>
                <w:iCs w:val="false"/>
                <w:color w:val="000000"/>
                <w:sz w:val="21"/>
                <w:szCs w:val="21"/>
              </w:rPr>
              <w:t>Tipo: Hidratado , Teor Alcoólico: 70%_(70°Gl) , Apresentação: Líquido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Litro</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R$ 6,90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R$ 69,00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17</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cs="Arial" w:ascii="Times New Roman" w:hAnsi="Times New Roman"/>
                <w:b/>
                <w:bCs/>
                <w:i w:val="false"/>
                <w:iCs w:val="false"/>
                <w:color w:val="000000"/>
                <w:sz w:val="21"/>
                <w:szCs w:val="21"/>
              </w:rPr>
              <w:t xml:space="preserve">Toalha De Papel </w:t>
            </w:r>
            <w:r>
              <w:rPr>
                <w:rFonts w:cs="Arial" w:ascii="Times New Roman" w:hAnsi="Times New Roman"/>
                <w:b w:val="false"/>
                <w:bCs w:val="false"/>
                <w:i w:val="false"/>
                <w:iCs w:val="false"/>
                <w:color w:val="000000"/>
                <w:sz w:val="21"/>
                <w:szCs w:val="21"/>
              </w:rPr>
              <w:t>Material: Papel , Tipo Folha: Dupla Picotada , Quantidade Toalha: 60 UN, Comprimento: 22,50 CM, Largura: 21,50 CM, Cor: Branca. Pacote contendo 2 rolos cada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R$ 5,39</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R$ 80,85</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18</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Sabão Pó </w:t>
            </w:r>
            <w:r>
              <w:rPr>
                <w:rFonts w:ascii="Times New Roman" w:hAnsi="Times New Roman"/>
                <w:sz w:val="21"/>
                <w:szCs w:val="21"/>
              </w:rPr>
              <w:t>Aplicação: Limpeza Geral , Aditivos: Não Aplicável , Odor: Não Aplicável. Pacote contendo 1 kg</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R$ 5,94</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R$ 29,70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19</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Pano Prato </w:t>
            </w:r>
            <w:r>
              <w:rPr>
                <w:rFonts w:ascii="Times New Roman" w:hAnsi="Times New Roman"/>
                <w:sz w:val="21"/>
                <w:szCs w:val="21"/>
              </w:rPr>
              <w:t>Material: Algodão Alvejado , Comprimento: 70 CM, Largura: 40 CM, Cor: Branca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02</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R$ 7,86</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R$ 15,72</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20</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Lixeira </w:t>
            </w:r>
            <w:r>
              <w:rPr>
                <w:rFonts w:ascii="Times New Roman" w:hAnsi="Times New Roman"/>
                <w:sz w:val="21"/>
                <w:szCs w:val="21"/>
              </w:rPr>
              <w:t>Material: Polipropileno Reforçado , Capacidade: 15 L, Tipo: Tampa E Pedal</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03</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R$ 32,84</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R$ 98,52</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21</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Lâmpada Led </w:t>
            </w:r>
            <w:r>
              <w:rPr>
                <w:rFonts w:ascii="Times New Roman" w:hAnsi="Times New Roman"/>
                <w:sz w:val="21"/>
                <w:szCs w:val="21"/>
              </w:rPr>
              <w:t>Tensão Nominal: Bivolt V, Potência Nominal: 30 W, Tipo Base: E-27 , Fluxo Luminoso: Mín. 2300 LM, Tipo Bulbo: Leitoso , Temperatura De Cor: 6500 K, Formato: Compacta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10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R$ 14,99</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R$ 149,90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22</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rFonts w:ascii="Times New Roman" w:hAnsi="Times New Roman"/>
                <w:sz w:val="21"/>
                <w:szCs w:val="21"/>
              </w:rPr>
            </w:pPr>
            <w:r>
              <w:rPr>
                <w:rFonts w:ascii="Times New Roman" w:hAnsi="Times New Roman"/>
                <w:sz w:val="21"/>
                <w:szCs w:val="21"/>
              </w:rPr>
            </w:r>
          </w:p>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Inseticida </w:t>
            </w:r>
            <w:r>
              <w:rPr>
                <w:rFonts w:ascii="Times New Roman" w:hAnsi="Times New Roman"/>
                <w:sz w:val="21"/>
                <w:szCs w:val="21"/>
              </w:rPr>
              <w:t>Tipo: Líquido , Aplicação: Uso Doméstico</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Und</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05</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R$ 10,76</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R$ 53,80</w:t>
            </w:r>
          </w:p>
        </w:tc>
      </w:tr>
      <w:tr>
        <w:trPr>
          <w:trHeight w:val="1187" w:hRule="atLeast"/>
        </w:trPr>
        <w:tc>
          <w:tcPr>
            <w:tcW w:w="1018" w:type="dxa"/>
            <w:tcBorders>
              <w:left w:val="single" w:sz="8" w:space="0" w:color="000000"/>
              <w:bottom w:val="single" w:sz="8" w:space="0" w:color="000000"/>
              <w:right w:val="single" w:sz="8" w:space="0" w:color="000000"/>
            </w:tcBorders>
            <w:shd w:fill="auto" w:val="clear"/>
          </w:tcPr>
          <w:p>
            <w:pPr>
              <w:pStyle w:val="Normal"/>
              <w:widowControl w:val="false"/>
              <w:spacing w:lineRule="auto" w:line="240" w:before="240" w:after="60"/>
              <w:jc w:val="center"/>
              <w:rPr>
                <w:rFonts w:ascii="Times New Roman" w:hAnsi="Times New Roman" w:eastAsia="Times New Roman" w:cs="Times New Roman"/>
              </w:rPr>
            </w:pPr>
            <w:r>
              <w:rPr>
                <w:rFonts w:eastAsia="Times New Roman" w:cs="Times New Roman"/>
                <w:sz w:val="21"/>
                <w:szCs w:val="21"/>
              </w:rPr>
              <w:t>23</w:t>
            </w:r>
          </w:p>
        </w:tc>
        <w:tc>
          <w:tcPr>
            <w:tcW w:w="3512" w:type="dxa"/>
            <w:tcBorders>
              <w:bottom w:val="single" w:sz="8" w:space="0" w:color="000000"/>
              <w:right w:val="single" w:sz="8" w:space="0" w:color="000000"/>
            </w:tcBorders>
            <w:shd w:fill="auto" w:val="clear"/>
          </w:tcPr>
          <w:p>
            <w:pPr>
              <w:pStyle w:val="PargrafodaLista"/>
              <w:widowControl w:val="false"/>
              <w:snapToGrid w:val="false"/>
              <w:spacing w:before="0" w:after="200"/>
              <w:ind w:left="0" w:right="0" w:hanging="0"/>
              <w:contextualSpacing/>
              <w:jc w:val="both"/>
              <w:rPr>
                <w:sz w:val="21"/>
                <w:szCs w:val="21"/>
              </w:rPr>
            </w:pPr>
            <w:r>
              <w:rPr>
                <w:rFonts w:ascii="Times New Roman" w:hAnsi="Times New Roman"/>
                <w:b/>
                <w:bCs/>
                <w:sz w:val="21"/>
                <w:szCs w:val="21"/>
              </w:rPr>
              <w:t xml:space="preserve">Pano Limpeza </w:t>
            </w:r>
            <w:r>
              <w:rPr>
                <w:rFonts w:ascii="Times New Roman" w:hAnsi="Times New Roman"/>
                <w:sz w:val="21"/>
                <w:szCs w:val="21"/>
              </w:rPr>
              <w:t>Material: 100% Viscose E Resina Acrílica , Comprimento: 50 CM, Largura: 33 CM, Aplicação: Limpeza Geral. Pacote contendo 5 unidades cada</w:t>
            </w:r>
          </w:p>
        </w:tc>
        <w:tc>
          <w:tcPr>
            <w:tcW w:w="1589" w:type="dxa"/>
            <w:tcBorders>
              <w:bottom w:val="single" w:sz="8" w:space="0" w:color="000000"/>
              <w:right w:val="single" w:sz="8" w:space="0" w:color="000000"/>
            </w:tcBorders>
            <w:shd w:fill="auto" w:val="clear"/>
          </w:tcPr>
          <w:p>
            <w:pPr>
              <w:pStyle w:val="Normal"/>
              <w:widowControl w:val="false"/>
              <w:spacing w:before="240" w:after="60"/>
              <w:jc w:val="center"/>
              <w:rPr>
                <w:rFonts w:ascii="Times New Roman" w:hAnsi="Times New Roman" w:eastAsia="Times New Roman" w:cs="Times New Roman"/>
                <w:lang w:val="pt-BR"/>
              </w:rPr>
            </w:pPr>
            <w:r>
              <w:rPr>
                <w:rFonts w:eastAsia="Times New Roman" w:cs="Times New Roman"/>
                <w:sz w:val="21"/>
                <w:szCs w:val="21"/>
                <w:lang w:val="pt-BR"/>
              </w:rPr>
              <w:t>Pct</w:t>
            </w:r>
          </w:p>
        </w:tc>
        <w:tc>
          <w:tcPr>
            <w:tcW w:w="1410" w:type="dxa"/>
            <w:tcBorders>
              <w:left w:val="single" w:sz="8" w:space="0" w:color="000000"/>
              <w:bottom w:val="single" w:sz="8" w:space="0" w:color="000000"/>
            </w:tcBorders>
            <w:shd w:fill="auto" w:val="clear"/>
          </w:tcPr>
          <w:p>
            <w:pPr>
              <w:pStyle w:val="Normal"/>
              <w:widowControl w:val="false"/>
              <w:spacing w:before="240" w:after="60"/>
              <w:jc w:val="center"/>
              <w:rPr>
                <w:rFonts w:ascii="Times New Roman" w:hAnsi="Times New Roman"/>
              </w:rPr>
            </w:pPr>
            <w:r>
              <w:rPr>
                <w:sz w:val="21"/>
                <w:szCs w:val="21"/>
              </w:rPr>
              <w:t>50</w:t>
            </w:r>
          </w:p>
        </w:tc>
        <w:tc>
          <w:tcPr>
            <w:tcW w:w="1685" w:type="dxa"/>
            <w:tcBorders>
              <w:left w:val="single" w:sz="8" w:space="0" w:color="000000"/>
              <w:bottom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R$ 5,70</w:t>
            </w:r>
          </w:p>
        </w:tc>
        <w:tc>
          <w:tcPr>
            <w:tcW w:w="1376" w:type="dxa"/>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rFonts w:ascii="Times New Roman" w:hAnsi="Times New Roman"/>
                <w:color w:val="000000"/>
              </w:rPr>
            </w:pPr>
            <w:r>
              <w:rPr>
                <w:color w:val="000000"/>
                <w:sz w:val="21"/>
                <w:szCs w:val="21"/>
              </w:rPr>
              <w:t>R$ 285,00</w:t>
            </w:r>
          </w:p>
        </w:tc>
      </w:tr>
      <w:tr>
        <w:trPr>
          <w:trHeight w:val="730" w:hRule="atLeast"/>
        </w:trPr>
        <w:tc>
          <w:tcPr>
            <w:tcW w:w="10590" w:type="dxa"/>
            <w:gridSpan w:val="6"/>
            <w:tcBorders>
              <w:left w:val="single" w:sz="8" w:space="0" w:color="000000"/>
              <w:bottom w:val="single" w:sz="8" w:space="0" w:color="000000"/>
              <w:right w:val="single" w:sz="8" w:space="0" w:color="000000"/>
            </w:tcBorders>
            <w:shd w:fill="auto" w:val="clear"/>
          </w:tcPr>
          <w:p>
            <w:pPr>
              <w:pStyle w:val="Contedodatabela"/>
              <w:widowControl w:val="false"/>
              <w:spacing w:lineRule="auto" w:line="276"/>
              <w:rPr>
                <w:rFonts w:ascii="Times New Roman" w:hAnsi="Times New Roman"/>
                <w:sz w:val="24"/>
                <w:szCs w:val="24"/>
              </w:rPr>
            </w:pPr>
            <w:r>
              <w:rPr>
                <w:b/>
                <w:bCs/>
                <w:color w:val="000000"/>
                <w:sz w:val="24"/>
                <w:szCs w:val="24"/>
              </w:rPr>
              <w:t>VALOR ESTIMADO TOTAL: R$ 2.394,40 (dois mil trezentos e noventa e quatro reais e quarenta centavos)</w:t>
            </w:r>
          </w:p>
        </w:tc>
      </w:tr>
    </w:tbl>
    <w:p>
      <w:pPr>
        <w:pStyle w:val="PADRO"/>
        <w:keepNext w:val="false"/>
        <w:widowControl/>
        <w:numPr>
          <w:ilvl w:val="1"/>
          <w:numId w:val="1"/>
        </w:numPr>
        <w:shd w:val="clear" w:color="auto" w:fill="auto"/>
        <w:spacing w:before="120" w:after="120"/>
        <w:ind w:left="0" w:hanging="0"/>
        <w:rPr>
          <w:rFonts w:ascii="Verdana" w:hAnsi="Verdana" w:cs="Arial"/>
          <w:szCs w:val="20"/>
        </w:rPr>
      </w:pP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unitário</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PARTICIPAÇÃO NA DISPENSA ELETRÔNICA</w:t>
      </w:r>
    </w:p>
    <w:p>
      <w:pPr>
        <w:pStyle w:val="Normal"/>
        <w:numPr>
          <w:ilvl w:val="1"/>
          <w:numId w:val="1"/>
        </w:numPr>
        <w:snapToGrid w:val="false"/>
        <w:spacing w:lineRule="auto" w:line="276" w:before="120" w:after="120"/>
        <w:ind w:left="0" w:hanging="0"/>
        <w:jc w:val="both"/>
        <w:rPr>
          <w:rFonts w:ascii="Verdana" w:hAnsi="Verdana" w:cs="Arial"/>
          <w:szCs w:val="20"/>
        </w:rPr>
      </w:pPr>
      <w:r>
        <w:rPr>
          <w:rFonts w:eastAsia="Calibri" w:cs="Arial" w:ascii="Verdana" w:hAnsi="Verdana" w:eastAsiaTheme="minorHAnsi"/>
          <w:szCs w:val="20"/>
          <w:lang w:eastAsia="en-US"/>
        </w:rPr>
        <w:t>A participação na presente dispensa eletrônica se dará mediante Sistema de Dispensa Eletrônica integrante do Sistema de Compras do Governo, disponível no endereço eletrônico www.gov.br/compras.</w:t>
      </w:r>
    </w:p>
    <w:p>
      <w:pPr>
        <w:pStyle w:val="Normal"/>
        <w:numPr>
          <w:ilvl w:val="2"/>
          <w:numId w:val="1"/>
        </w:numPr>
        <w:snapToGrid w:val="false"/>
        <w:spacing w:lineRule="auto" w:line="276" w:before="120" w:after="120"/>
        <w:ind w:left="567" w:hanging="0"/>
        <w:jc w:val="both"/>
        <w:rPr>
          <w:rFonts w:ascii="Verdana" w:hAnsi="Verdana" w:cs="Arial"/>
          <w:szCs w:val="20"/>
        </w:rPr>
      </w:pPr>
      <w:r>
        <w:rPr>
          <w:rFonts w:cs="Arial" w:ascii="Verdana" w:hAnsi="Verdana"/>
          <w:szCs w:val="20"/>
        </w:rPr>
        <w:t xml:space="preserve">Os fornecedores deverão atender aos procedimentos previstos no Manual do Sistema de Dispensa Eletrônica, disponível no Portal de Compras do Governo Federal, para acesso ao sistema e operacionalização; </w:t>
      </w:r>
    </w:p>
    <w:p>
      <w:pPr>
        <w:pStyle w:val="Normal"/>
        <w:numPr>
          <w:ilvl w:val="2"/>
          <w:numId w:val="1"/>
        </w:numPr>
        <w:snapToGrid w:val="false"/>
        <w:spacing w:lineRule="auto" w:line="276" w:before="120" w:after="120"/>
        <w:ind w:left="567" w:hanging="0"/>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snapToGrid w:val="false"/>
        <w:spacing w:lineRule="auto" w:line="276" w:before="120" w:after="120"/>
        <w:ind w:left="567" w:hanging="0"/>
        <w:jc w:val="both"/>
        <w:rPr>
          <w:rFonts w:ascii="Verdana" w:hAnsi="Verdana" w:cs="Arial"/>
          <w:szCs w:val="20"/>
        </w:rPr>
      </w:pPr>
      <w:r>
        <w:rPr/>
      </w:r>
    </w:p>
    <w:p>
      <w:pPr>
        <w:pStyle w:val="Normal"/>
        <w:numPr>
          <w:ilvl w:val="1"/>
          <w:numId w:val="1"/>
        </w:numPr>
        <w:spacing w:lineRule="auto" w:line="276" w:before="120" w:after="120"/>
        <w:ind w:left="0" w:hanging="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left="567" w:firstLine="21"/>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left="567" w:hanging="0"/>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left="567" w:hanging="0"/>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left="-70" w:firstLine="63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LinkdaInternet"/>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hanging="0"/>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0"/>
        <w:ind w:left="574" w:hanging="0"/>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hanging="0"/>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hanging="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left="0" w:hanging="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before="120" w:after="120"/>
        <w:ind w:left="851" w:hanging="0"/>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rPr>
      </w:r>
    </w:p>
    <w:p>
      <w:pPr>
        <w:pStyle w:val="ListParagraph"/>
        <w:numPr>
          <w:ilvl w:val="1"/>
          <w:numId w:val="1"/>
        </w:numPr>
        <w:tabs>
          <w:tab w:val="clear" w:pos="708"/>
          <w:tab w:val="left" w:pos="518" w:leader="none"/>
        </w:tabs>
        <w:spacing w:lineRule="auto" w:line="276" w:before="120" w:after="120"/>
        <w:ind w:left="0" w:hanging="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left="1224" w:hanging="0"/>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left="0" w:hanging="0"/>
        <w:contextualSpacing/>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hanging="0"/>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left="0" w:right="-15" w:hanging="0"/>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left="0" w:right="-15" w:hanging="0"/>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b/>
          <w:bCs/>
          <w:szCs w:val="20"/>
          <w:u w:val="single"/>
          <w:shd w:fill="FFFF00" w:val="clear"/>
          <w:lang w:eastAsia="en-US"/>
        </w:rPr>
        <w:t>Em caso de haver divergência entre o item selecionado no catálogo do Compras.gov.br e as especificações contidas no Aviso de Dispensa prevalecem as especificações do Aviso de Dispensa, inclusive para fins de desclassificação.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hanging="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120" w:after="120"/>
        <w:rPr>
          <w:rFonts w:ascii="Verdana" w:hAnsi="Verdana" w:cs="Arial"/>
          <w:b/>
          <w:b/>
          <w:szCs w:val="20"/>
        </w:rPr>
      </w:pPr>
      <w:r>
        <w:rPr>
          <w:rFonts w:cs="Arial" w:ascii="Verdana" w:hAnsi="Verdana"/>
          <w:b/>
          <w:szCs w:val="20"/>
        </w:rPr>
        <w:t>HABILITAÇÃO</w:t>
      </w:r>
    </w:p>
    <w:p>
      <w:pPr>
        <w:pStyle w:val="ListParagraph"/>
        <w:numPr>
          <w:ilvl w:val="1"/>
          <w:numId w:val="1"/>
        </w:numPr>
        <w:spacing w:lineRule="auto" w:line="276" w:before="120" w:after="120"/>
        <w:ind w:left="567" w:hanging="574"/>
        <w:contextualSpacing/>
        <w:jc w:val="both"/>
        <w:rPr>
          <w:rFonts w:ascii="Verdana" w:hAnsi="Verdana" w:cs="Arial"/>
          <w:b/>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left="567" w:hanging="574"/>
        <w:contextualSpacing/>
        <w:jc w:val="both"/>
        <w:rPr>
          <w:rFonts w:ascii="Verdana" w:hAnsi="Verdana" w:cs="Arial"/>
          <w:b/>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hanging="0"/>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LinkdaInternet"/>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hanging="0"/>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LinkdaInternet"/>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hanging="0"/>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567" w:hanging="574"/>
        <w:contextualSpacing/>
        <w:jc w:val="both"/>
        <w:rPr>
          <w:rFonts w:ascii="Verdana" w:hAnsi="Verdana" w:cs="Arial"/>
          <w:b/>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567" w:hanging="574"/>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567" w:hanging="574"/>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567" w:hanging="574"/>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0"/>
        <w:rPr>
          <w:rFonts w:ascii="Verdana" w:hAnsi="Verdana" w:cs="Arial"/>
          <w:b/>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left="0" w:hanging="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left="0" w:hanging="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left="0" w:hanging="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left="0" w:hanging="0"/>
        <w:jc w:val="both"/>
        <w:rPr>
          <w:rFonts w:ascii="Verdana" w:hAnsi="Verdana" w:cs="Arial"/>
          <w:b/>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before="120" w:after="120"/>
        <w:ind w:left="1134" w:hanging="425"/>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left="1134" w:hanging="406"/>
        <w:jc w:val="both"/>
        <w:rPr>
          <w:rFonts w:ascii="Verdana" w:hAnsi="Verdana"/>
          <w:szCs w:val="20"/>
        </w:rPr>
      </w:pPr>
      <w:r>
        <w:rPr>
          <w:rFonts w:cs="Arial" w:ascii="Verdana" w:hAnsi="Verdana"/>
          <w:szCs w:val="20"/>
        </w:rPr>
        <w:t>praticar ato lesivo previsto no </w:t>
      </w:r>
      <w:r>
        <w:fldChar w:fldCharType="begin"/>
      </w:r>
      <w:r>
        <w:rPr>
          <w:szCs w:val="20"/>
          <w:rFonts w:ascii="Verdana" w:hAnsi="Verdana"/>
        </w:rPr>
        <w:instrText xml:space="preserve"> HYPERLINK "http://www.planalto.gov.br/ccivil_03/_Ato2011-2014/2013/Lei/L12846.htm" \l "art5"</w:instrText>
      </w:r>
      <w:r>
        <w:rPr>
          <w:szCs w:val="20"/>
          <w:rFonts w:ascii="Verdana" w:hAnsi="Verdana"/>
        </w:rPr>
        <w:fldChar w:fldCharType="separate"/>
      </w:r>
      <w:r>
        <w:rPr>
          <w:rFonts w:ascii="Verdana" w:hAnsi="Verdana"/>
          <w:szCs w:val="20"/>
        </w:rPr>
        <w:t>art. 5º da Lei nº 12.846, de 1º de agosto de 2013.</w:t>
      </w:r>
      <w:r>
        <w:rPr>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left="0" w:hanging="0"/>
        <w:jc w:val="both"/>
        <w:rPr>
          <w:rFonts w:ascii="Verdana" w:hAnsi="Verdana" w:cs="Arial"/>
          <w:b/>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bookmarkStart w:id="2" w:name="art156%25252525C2%25252525A78"/>
      <w:bookmarkStart w:id="3" w:name="art156%25252525C2%25252525A77"/>
      <w:bookmarkStart w:id="4" w:name="art156%25252525C2%25252525A76"/>
      <w:bookmarkEnd w:id="2"/>
      <w:bookmarkEnd w:id="3"/>
      <w:bookmarkEnd w:id="4"/>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2525C2%25252525A79"/>
      <w:bookmarkEnd w:id="5"/>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left="0" w:hanging="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before="0" w:after="0"/>
        <w:rPr>
          <w:rFonts w:ascii="Verdana" w:hAnsi="Verdana" w:cs="Arial"/>
          <w:b/>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before="120" w:after="120"/>
        <w:ind w:left="0" w:hanging="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left="0" w:hanging="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left="770" w:hanging="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hanging="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left="0" w:hanging="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left="0" w:hanging="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hanging="0"/>
        <w:jc w:val="both"/>
        <w:rPr>
          <w:rFonts w:ascii="Verdana" w:hAnsi="Verdana" w:cs="Arial"/>
          <w:szCs w:val="20"/>
        </w:rPr>
      </w:pPr>
      <w:r>
        <w:rPr>
          <w:rFonts w:cs="Arial" w:ascii="Verdana" w:hAnsi="Verdana"/>
          <w:b/>
          <w:bCs/>
          <w:szCs w:val="20"/>
        </w:rPr>
        <w:tab/>
        <w:t>9.15.2.1 ANEXO II-2</w:t>
      </w:r>
      <w:r>
        <w:rPr>
          <w:rFonts w:cs="Arial" w:ascii="Verdana" w:hAnsi="Verdana"/>
          <w:szCs w:val="20"/>
        </w:rPr>
        <w:t xml:space="preserve"> – Modelo de Proposta.</w:t>
      </w:r>
    </w:p>
    <w:p>
      <w:pPr>
        <w:pStyle w:val="Normal"/>
        <w:tabs>
          <w:tab w:val="clear" w:pos="708"/>
          <w:tab w:val="left" w:pos="1560" w:leader="none"/>
        </w:tabs>
        <w:spacing w:lineRule="auto" w:line="276"/>
        <w:ind w:left="1224" w:hanging="0"/>
        <w:jc w:val="both"/>
        <w:rPr>
          <w:rFonts w:ascii="Verdana" w:hAnsi="Verdana" w:cs="Arial"/>
          <w:szCs w:val="20"/>
        </w:rPr>
      </w:pPr>
      <w:r>
        <w:rPr>
          <w:rFonts w:cs="Arial" w:ascii="Verdana" w:hAnsi="Verdana"/>
          <w:szCs w:val="20"/>
        </w:rPr>
      </w:r>
    </w:p>
    <w:p>
      <w:pPr>
        <w:pStyle w:val="Normal"/>
        <w:spacing w:lineRule="auto" w:line="276" w:before="0" w:after="120"/>
        <w:ind w:left="360" w:right="-15" w:hanging="0"/>
        <w:jc w:val="center"/>
        <w:rPr>
          <w:rFonts w:ascii="Verdana" w:hAnsi="Verdana" w:cs="Arial"/>
          <w:szCs w:val="20"/>
        </w:rPr>
      </w:pPr>
      <w:r>
        <w:rPr>
          <w:rFonts w:cs="Arial" w:ascii="Verdana" w:hAnsi="Verdana"/>
          <w:szCs w:val="20"/>
        </w:rPr>
        <w:t>São Gabriel da Palha - ES, 31 de julho de 2024.</w:t>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r>
    </w:p>
    <w:p>
      <w:pPr>
        <w:pStyle w:val="Normal"/>
        <w:spacing w:lineRule="auto" w:line="276"/>
        <w:jc w:val="center"/>
        <w:rPr>
          <w:rFonts w:ascii="Verdana" w:hAnsi="Verdana" w:cs="Arial"/>
          <w:b/>
          <w:b/>
          <w:bCs/>
          <w:iCs/>
          <w:szCs w:val="20"/>
        </w:rPr>
      </w:pPr>
      <w:r>
        <w:rPr>
          <w:rFonts w:cs="Arial" w:ascii="Verdana" w:hAnsi="Verdana"/>
          <w:b/>
          <w:bCs/>
          <w:iCs/>
          <w:szCs w:val="20"/>
        </w:rPr>
        <w:t>GUILHERME LOPES CAMPOS</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pict>
        <v:shape id="PowerPlusWaterMarkObject259915282" o:spid="shape_0" coordsize="1921,1910" path="m0,8l0,8xm6,1l0,8l7,0l6,1xm0,8l0,8xm1919,1909l0,8l1920,1908l1919,1909xe" stroked="f" o:allowincell="f" style="position:absolute;margin-left:0.05pt;margin-top:0pt;width:54.4pt;height:54.05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Cabealho"/>
      <w:jc w:val="center"/>
      <w:rPr>
        <w:sz w:val="22"/>
        <w:szCs w:val="22"/>
      </w:rPr>
    </w:pPr>
    <w:r>
      <w:rPr/>
      <w:drawing>
        <wp:inline distT="0" distB="0" distL="0" distR="0">
          <wp:extent cx="828675" cy="552450"/>
          <wp:effectExtent l="0" t="0" r="0" b="0"/>
          <wp:docPr id="2"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Arial Narrow" w:hAnsi="Arial Narrow"/>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Cabealho"/>
      <w:jc w:val="center"/>
      <w:rPr>
        <w:sz w:val="22"/>
        <w:szCs w:val="22"/>
      </w:rPr>
    </w:pPr>
    <w:r>
      <w:rPr/>
      <w:drawing>
        <wp:inline distT="0" distB="0" distL="0" distR="0">
          <wp:extent cx="828675" cy="552450"/>
          <wp:effectExtent l="0" t="0" r="0" b="0"/>
          <wp:docPr id="3"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Arial Narrow" w:hAnsi="Arial Narrow"/>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Hyperlink"/>
    <w:basedOn w:val="DefaultParagraphFont"/>
    <w:unhideWhenUsed/>
    <w:rsid w:val="005c474f"/>
    <w:rPr>
      <w:color w:val="0563C1" w:themeColor="hyperlink"/>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link w:val="CabealhoChar"/>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Ttulo1"/>
    <w:qFormat/>
    <w:rsid w:val="000d02c1"/>
    <w:pPr>
      <w:snapToGrid w:val="false"/>
      <w:spacing w:lineRule="auto" w:line="360" w:before="240" w:after="240"/>
      <w:ind w:right="-30" w:hanging="0"/>
      <w:jc w:val="both"/>
    </w:pPr>
    <w:rPr>
      <w:rFonts w:ascii="Arial" w:hAnsi="Arial" w:eastAsia="Times New Roman" w:cs="Arial"/>
      <w:b/>
      <w:color w:val="000000"/>
      <w:sz w:val="24"/>
      <w:szCs w:val="24"/>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Application>LibreOffice/7.4.4.2$Windows_X86_64 LibreOffice_project/85569322deea74ec9134968a29af2df5663baa21</Application>
  <AppVersion>15.0000</AppVersion>
  <Pages>14</Pages>
  <Words>5294</Words>
  <Characters>29978</Characters>
  <CharactersWithSpaces>34812</CharactersWithSpaces>
  <Paragraphs>334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2024-07-25T17:13:00Z</cp:lastPrinted>
  <dcterms:modified xsi:type="dcterms:W3CDTF">2024-07-31T11:22:05Z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